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управление пространственным развитием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820B07" w:rsidR="00A77598" w:rsidRPr="00A15EA5" w:rsidRDefault="00A15E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1E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86">
              <w:rPr>
                <w:rFonts w:ascii="Times New Roman" w:hAnsi="Times New Roman" w:cs="Times New Roman"/>
                <w:sz w:val="20"/>
                <w:szCs w:val="20"/>
              </w:rPr>
              <w:t>д.э.н, Федосеев Игорь Васильевич</w:t>
            </w:r>
          </w:p>
        </w:tc>
      </w:tr>
      <w:tr w:rsidR="007A7979" w:rsidRPr="007A7979" w14:paraId="283D1F60" w14:textId="77777777" w:rsidTr="00ED54AA">
        <w:tc>
          <w:tcPr>
            <w:tcW w:w="9345" w:type="dxa"/>
          </w:tcPr>
          <w:p w14:paraId="5EEF953D" w14:textId="77777777" w:rsidR="007A7979" w:rsidRPr="00F11E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86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  <w:tr w:rsidR="007A7979" w:rsidRPr="007A7979" w14:paraId="5614F553" w14:textId="77777777" w:rsidTr="00ED54AA">
        <w:tc>
          <w:tcPr>
            <w:tcW w:w="9345" w:type="dxa"/>
          </w:tcPr>
          <w:p w14:paraId="4BE97406" w14:textId="77777777" w:rsidR="007A7979" w:rsidRPr="00F11E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E8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Мельниковская Алёна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9C5F0D" w:rsidR="004475DA" w:rsidRPr="00A15EA5" w:rsidRDefault="00A15E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85ABC6" w14:textId="77777777" w:rsidR="00F11E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0321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_Toc211850321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3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661B8333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2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_Toc211850322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3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4885252D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3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_Toc211850323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3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36F00D89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4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_Toc211850324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4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3244009C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5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_Toc211850325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5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75D83138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6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_Toc211850326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6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01E5154D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7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_Toc211850327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6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4C6EEA49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8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_Toc211850328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6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561EDF04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29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_Toc211850329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7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795E8DE4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0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_Toc211850330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9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3B76642E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1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_Toc211850331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10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47EE1865" w14:textId="77777777" w:rsidR="00F11E86" w:rsidRDefault="00E223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2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_Toc211850332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11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142AB2CF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3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_Toc211850333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11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451A7A0D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4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_Toc211850334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12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23C9302C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5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_Toc211850335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12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7849CD97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6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_Toc211850336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12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4261103E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7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_Toc211850337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12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20B8F411" w14:textId="77777777" w:rsidR="00F11E86" w:rsidRDefault="00E223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338" w:history="1">
            <w:r w:rsidR="00F11E86" w:rsidRPr="00E509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1E86">
              <w:rPr>
                <w:noProof/>
                <w:webHidden/>
              </w:rPr>
              <w:tab/>
            </w:r>
            <w:r w:rsidR="00F11E86">
              <w:rPr>
                <w:noProof/>
                <w:webHidden/>
              </w:rPr>
              <w:fldChar w:fldCharType="begin"/>
            </w:r>
            <w:r w:rsidR="00F11E86">
              <w:rPr>
                <w:noProof/>
                <w:webHidden/>
              </w:rPr>
              <w:instrText xml:space="preserve"> PAGEREF _Toc211850338 \h </w:instrText>
            </w:r>
            <w:r w:rsidR="00F11E86">
              <w:rPr>
                <w:noProof/>
                <w:webHidden/>
              </w:rPr>
            </w:r>
            <w:r w:rsidR="00F11E86">
              <w:rPr>
                <w:noProof/>
                <w:webHidden/>
              </w:rPr>
              <w:fldChar w:fldCharType="separate"/>
            </w:r>
            <w:r w:rsidR="00F11E86">
              <w:rPr>
                <w:noProof/>
                <w:webHidden/>
              </w:rPr>
              <w:t>12</w:t>
            </w:r>
            <w:r w:rsidR="00F11E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0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компетенций, необходимых для совершенствования процесса управления пространственным развитием территории, а также подготовки специалистов в области управления пространственным развитием городов и градостроительного зонирования, способных работать в системе государственного и муниципального управления, в области девелопмента и инфраструктурного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0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Государственное управление пространственным развитием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0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11E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1E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1E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1E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1E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1E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1E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1E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1E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1E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>ПК-1 - Способен разрабатывать программы развития отраслей, проводить оценку социальных, экономических и политических условий и итогов реализации программ развития отраслей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1E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1E86">
              <w:rPr>
                <w:rFonts w:ascii="Times New Roman" w:hAnsi="Times New Roman" w:cs="Times New Roman"/>
                <w:lang w:bidi="ru-RU"/>
              </w:rPr>
              <w:t>ПК-1.1 - Способен разрабатывать программы развития отраслей и территорий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1E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1E86">
              <w:rPr>
                <w:rFonts w:ascii="Times New Roman" w:hAnsi="Times New Roman" w:cs="Times New Roman"/>
              </w:rPr>
              <w:t>подходы к созданию, согласованию и утверждению программ (стратегий) развития отраслей/комплексов, территорий/регионов. Методы выявления факторов влияния на успешность реализации программ и стратегий, методики формирования стартовых условий программ. Технологии и приемы оценки социальных, экономических и политических условий и итогов реализации программ развития отраслей, методы верификации и оценки степени согласованности мнения экспертов.</w:t>
            </w:r>
            <w:r w:rsidRPr="00F11E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1E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1E86">
              <w:rPr>
                <w:rFonts w:ascii="Times New Roman" w:hAnsi="Times New Roman" w:cs="Times New Roman"/>
              </w:rPr>
              <w:t>создавать программы (стратегии) развития отраслей/комплексов, территорий/регионов. Выявлять факторы влияния на успешность реализации программ и стратегий, риски. Проводить оценку социальных, экономических и политических условий и итогов реализации программ развития отраслей, используя методы верификации и оценки степени согласованности мнения экспертов.</w:t>
            </w:r>
            <w:r w:rsidRPr="00F11E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1E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1E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1E86">
              <w:rPr>
                <w:rFonts w:ascii="Times New Roman" w:hAnsi="Times New Roman" w:cs="Times New Roman"/>
              </w:rPr>
              <w:t xml:space="preserve">технологией анализа производственно-хозяйственной деятельности предприятий отрасли и/или региона. Методиками построения </w:t>
            </w:r>
            <w:r w:rsidR="00FD518F" w:rsidRPr="00F11E86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F11E86">
              <w:rPr>
                <w:rFonts w:ascii="Times New Roman" w:hAnsi="Times New Roman" w:cs="Times New Roman"/>
              </w:rPr>
              <w:t xml:space="preserve"> и </w:t>
            </w:r>
            <w:r w:rsidR="00FD518F" w:rsidRPr="00F11E86">
              <w:rPr>
                <w:rFonts w:ascii="Times New Roman" w:hAnsi="Times New Roman" w:cs="Times New Roman"/>
                <w:lang w:val="en-US"/>
              </w:rPr>
              <w:t>PEST</w:t>
            </w:r>
            <w:r w:rsidR="00FD518F" w:rsidRPr="00F11E86">
              <w:rPr>
                <w:rFonts w:ascii="Times New Roman" w:hAnsi="Times New Roman" w:cs="Times New Roman"/>
              </w:rPr>
              <w:t xml:space="preserve"> матриц. Технологиями планирования и прогнозирования ключевых показателей развития. Методикой проведения экспертного опроса и методиками обработки статистических данных и оценки степени согласованности мнения экспертов (например, коэффициент Кэнделла).</w:t>
            </w:r>
            <w:r w:rsidRPr="00F11E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1E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03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региональной экономики и управления территориальным развитием.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объект и методы исследования региона как объекта хозяйствования и управления. Понятие «экономическое пространство». Цели и задачи пространственного развития современной российской экономики. Этапы развития отечественных региональных исследований. зарубежные теории размещения производства. современные исследования в региональной науке. Регион и экономическое районирование. Порядок объединения субъектов российской федерации. Типология российских регионов. Типы проблемных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6A976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1467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Территориальная (пространственная) организация общества. размещение производительных сил.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7D2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территориальной (пространственной) организации общества. Природно-ресурсный потенциал России, его рациональное использование и роль в развитии регионов. Производительные силы и механизмы их размещения. Межрегиональные связи. Взаимодействие российских регионов. Региональный хозяйственный комплекс. Специализация и комплексное развитие. Система региональных рынков и проблемы ее формирования. конкурентная среда и инфраструктура региональных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4F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2D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D319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3C0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F921A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2BE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Региональный экономический рост и социально-экономическое развитие.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124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экономического роста и социально-экономического  развития. Измерители темпов и масштабов экономического роста. Источники экономического роста. Модели темпов роста и экономического равновесия. Измерители макроэкономических циклов.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2E0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3F7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57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66F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066D7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2A9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Монополии в региональной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8CC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Региональный монополизм и тенденции его развития. Электроэнергетика как монополизирующий фактор развития экономики страны и регионов. Измерение позиций естественных монополий в экономическом пространстве страны и ее регионов. Влияние регионального монополизма на эффективность экономики регионов. Современные проблемы и механизмы взаимодействия естественных монополий с субъектами региональной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E91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D3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C77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1D4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CAC7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6B1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Государственное регулирование территориального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7FD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государственного регулирования социально-экономического развития регионов. Комплексное социально-экономическое прогнозирование и планирование — важнейшее направление государственного регулирования развития регионов. региональное стратегическое планирование. Региональные финансы и бюджетно-налоговая система. Предпринимательство в системе регионального хозяйства. Межрегиональные экономические связи как объект регулирования. Методы регулирования межрегиональных экономических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B38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CD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E21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99E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5E82F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228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Государственная региональная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E1F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региональной политики Российской Федерации. виды региональной политики. Зарубежный опыт проведения региональной политики. Свободные (особые) экономические зоны как инструмент региональной политики и инновационного развития территорий. международный опыт. Российский опыт создания и продвижения особых экономических зон.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212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087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051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234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9E02F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7D13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Организация управления развитием регионов.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F9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цели регионального управления. Собственность как экономическая основа управления экономикой региона. Инструменты, механизмы и технологии управления экономикой региона. Целевые комплексные программы и приоритетные национальные проекты как методы управления устойчивым развитием регионов. Конкурентоспособность регионов и управление развитием их конкурентных преимуществ. Кластерный подход в управлении территориальным развитием. Управление региональными рынками. Система риск-менеджмента в региональной экономике и управлении территориальным развитием.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D9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EE5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798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08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03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03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1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Буров, М. П. Региональная экономика и управление территориальным развитием : учебник для магистров / М. П. Буров. — 2-е изд. — Москва : Издательско-торговая корпорация «Дашков и К°», 2019. — 446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11E86" w:rsidRDefault="00E223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https://znanium.com/catalog/document?id=358131</w:t>
              </w:r>
            </w:hyperlink>
          </w:p>
        </w:tc>
      </w:tr>
      <w:tr w:rsidR="00262CF0" w:rsidRPr="007E6725" w14:paraId="563BA0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95C4D4" w14:textId="77777777" w:rsidR="00262CF0" w:rsidRPr="00F11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Доманицкий А. А. Управление пространственным развитием России (на примере регионов Севера) / А.А. Доманицкий. - Москва : Дашков и К, 2015. - 216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CDA32" w14:textId="77777777" w:rsidR="00262CF0" w:rsidRPr="00F11E86" w:rsidRDefault="00E223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https://znanium.com/read?id=72142</w:t>
              </w:r>
            </w:hyperlink>
          </w:p>
        </w:tc>
      </w:tr>
      <w:tr w:rsidR="00262CF0" w:rsidRPr="00A15EA5" w14:paraId="34B502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B531C" w14:textId="77777777" w:rsidR="00262CF0" w:rsidRPr="00F11E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Урбанистика. Городская экономика, развитие и управление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; под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Лимонова.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— 822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0025C0" w14:textId="77777777" w:rsidR="00262CF0" w:rsidRPr="007E6725" w:rsidRDefault="00E223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F11E86">
                <w:rPr>
                  <w:color w:val="00008B"/>
                  <w:u w:val="single"/>
                  <w:lang w:val="en-US"/>
                </w:rPr>
                <w:t>https://www.urait.ru/viewer/ur ... tie-i-upravlenie-475910#page/1</w:t>
              </w:r>
            </w:hyperlink>
          </w:p>
        </w:tc>
      </w:tr>
      <w:tr w:rsidR="00262CF0" w:rsidRPr="00A15EA5" w14:paraId="2DAF40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339A9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11E86">
              <w:rPr>
                <w:rFonts w:ascii="Times New Roman" w:hAnsi="Times New Roman" w:cs="Times New Roman"/>
                <w:sz w:val="24"/>
                <w:szCs w:val="24"/>
              </w:rPr>
              <w:t xml:space="preserve">Перцик, Евгений Наумович. Территориальное планирование : Учебник / Перцик Е. Н. 2-е изд., испр.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2018. - 390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BE1EC6" w14:textId="77777777" w:rsidR="00262CF0" w:rsidRPr="007E6725" w:rsidRDefault="00E223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F11E86">
                <w:rPr>
                  <w:color w:val="00008B"/>
                  <w:u w:val="single"/>
                  <w:lang w:val="en-US"/>
                </w:rPr>
                <w:t>https://www.urait.ru/viewer/te ... noe-planirovanie-414249#page/1</w:t>
              </w:r>
            </w:hyperlink>
          </w:p>
        </w:tc>
      </w:tr>
    </w:tbl>
    <w:p w14:paraId="570D085B" w14:textId="77777777" w:rsidR="0091168E" w:rsidRPr="00F11E8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03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809834" w14:textId="77777777" w:rsidTr="007B550D">
        <w:tc>
          <w:tcPr>
            <w:tcW w:w="9345" w:type="dxa"/>
          </w:tcPr>
          <w:p w14:paraId="37572058" w14:textId="77777777" w:rsidR="007B550D" w:rsidRPr="00F11E8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E86">
              <w:rPr>
                <w:rFonts w:ascii="Times New Roman" w:hAnsi="Times New Roman" w:cs="Times New Roman"/>
                <w:sz w:val="26"/>
                <w:szCs w:val="26"/>
              </w:rPr>
              <w:t>-  1С: Государственные и муниципальные закупки 8</w:t>
            </w:r>
          </w:p>
        </w:tc>
      </w:tr>
      <w:tr w:rsidR="007B550D" w:rsidRPr="007E6725" w14:paraId="7E057F18" w14:textId="77777777" w:rsidTr="007B550D">
        <w:tc>
          <w:tcPr>
            <w:tcW w:w="9345" w:type="dxa"/>
          </w:tcPr>
          <w:p w14:paraId="745BBA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6B860F" w14:textId="77777777" w:rsidTr="007B550D">
        <w:tc>
          <w:tcPr>
            <w:tcW w:w="9345" w:type="dxa"/>
          </w:tcPr>
          <w:p w14:paraId="33E9A4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20D30D" w14:textId="77777777" w:rsidTr="007B550D">
        <w:tc>
          <w:tcPr>
            <w:tcW w:w="9345" w:type="dxa"/>
          </w:tcPr>
          <w:p w14:paraId="2902A2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8D1C7D" w14:textId="77777777" w:rsidTr="007B550D">
        <w:tc>
          <w:tcPr>
            <w:tcW w:w="9345" w:type="dxa"/>
          </w:tcPr>
          <w:p w14:paraId="374D8F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03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223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0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1E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1E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E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1E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1E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1E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11E86">
              <w:rPr>
                <w:sz w:val="22"/>
                <w:szCs w:val="22"/>
                <w:lang w:val="en-US"/>
              </w:rPr>
              <w:t>Acer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Aspire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Z</w:t>
            </w:r>
            <w:r w:rsidRPr="00F11E86">
              <w:rPr>
                <w:sz w:val="22"/>
                <w:szCs w:val="22"/>
              </w:rPr>
              <w:t xml:space="preserve">1811 в компл.: </w:t>
            </w:r>
            <w:r w:rsidRPr="00F11E86">
              <w:rPr>
                <w:sz w:val="22"/>
                <w:szCs w:val="22"/>
                <w:lang w:val="en-US"/>
              </w:rPr>
              <w:t>i</w:t>
            </w:r>
            <w:r w:rsidRPr="00F11E86">
              <w:rPr>
                <w:sz w:val="22"/>
                <w:szCs w:val="22"/>
              </w:rPr>
              <w:t>5 2400</w:t>
            </w:r>
            <w:r w:rsidRPr="00F11E86">
              <w:rPr>
                <w:sz w:val="22"/>
                <w:szCs w:val="22"/>
                <w:lang w:val="en-US"/>
              </w:rPr>
              <w:t>s</w:t>
            </w:r>
            <w:r w:rsidRPr="00F11E86">
              <w:rPr>
                <w:sz w:val="22"/>
                <w:szCs w:val="22"/>
              </w:rPr>
              <w:t>/4</w:t>
            </w:r>
            <w:r w:rsidRPr="00F11E86">
              <w:rPr>
                <w:sz w:val="22"/>
                <w:szCs w:val="22"/>
                <w:lang w:val="en-US"/>
              </w:rPr>
              <w:t>Gb</w:t>
            </w:r>
            <w:r w:rsidRPr="00F11E86">
              <w:rPr>
                <w:sz w:val="22"/>
                <w:szCs w:val="22"/>
              </w:rPr>
              <w:t>/1</w:t>
            </w:r>
            <w:r w:rsidRPr="00F11E86">
              <w:rPr>
                <w:sz w:val="22"/>
                <w:szCs w:val="22"/>
                <w:lang w:val="en-US"/>
              </w:rPr>
              <w:t>T</w:t>
            </w:r>
            <w:r w:rsidRPr="00F11E86">
              <w:rPr>
                <w:sz w:val="22"/>
                <w:szCs w:val="22"/>
              </w:rPr>
              <w:t xml:space="preserve">б/ - 1 шт., Компьютер </w:t>
            </w:r>
            <w:r w:rsidRPr="00F11E86">
              <w:rPr>
                <w:sz w:val="22"/>
                <w:szCs w:val="22"/>
                <w:lang w:val="en-US"/>
              </w:rPr>
              <w:t>Intel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Core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i</w:t>
            </w:r>
            <w:r w:rsidRPr="00F11E86">
              <w:rPr>
                <w:sz w:val="22"/>
                <w:szCs w:val="22"/>
              </w:rPr>
              <w:t xml:space="preserve">5-3570 </w:t>
            </w:r>
            <w:r w:rsidRPr="00F11E86">
              <w:rPr>
                <w:sz w:val="22"/>
                <w:szCs w:val="22"/>
                <w:lang w:val="en-US"/>
              </w:rPr>
              <w:t>Sigabyte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GA</w:t>
            </w:r>
            <w:r w:rsidRPr="00F11E86">
              <w:rPr>
                <w:sz w:val="22"/>
                <w:szCs w:val="22"/>
              </w:rPr>
              <w:t>-</w:t>
            </w:r>
            <w:r w:rsidRPr="00F11E86">
              <w:rPr>
                <w:sz w:val="22"/>
                <w:szCs w:val="22"/>
                <w:lang w:val="en-US"/>
              </w:rPr>
              <w:t>H</w:t>
            </w:r>
            <w:r w:rsidRPr="00F11E86">
              <w:rPr>
                <w:sz w:val="22"/>
                <w:szCs w:val="22"/>
              </w:rPr>
              <w:t>77</w:t>
            </w:r>
            <w:r w:rsidRPr="00F11E86">
              <w:rPr>
                <w:sz w:val="22"/>
                <w:szCs w:val="22"/>
                <w:lang w:val="en-US"/>
              </w:rPr>
              <w:t>M</w:t>
            </w:r>
            <w:r w:rsidRPr="00F11E86">
              <w:rPr>
                <w:sz w:val="22"/>
                <w:szCs w:val="22"/>
              </w:rPr>
              <w:t xml:space="preserve"> - 1 шт., Громкоговоритель </w:t>
            </w:r>
            <w:r w:rsidRPr="00F11E86">
              <w:rPr>
                <w:sz w:val="22"/>
                <w:szCs w:val="22"/>
                <w:lang w:val="en-US"/>
              </w:rPr>
              <w:t>Electrolvoice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EVID</w:t>
            </w:r>
            <w:r w:rsidRPr="00F11E86">
              <w:rPr>
                <w:sz w:val="22"/>
                <w:szCs w:val="22"/>
              </w:rPr>
              <w:t xml:space="preserve"> 3.2 - 2 шт., Мультимедийный проектор </w:t>
            </w:r>
            <w:r w:rsidRPr="00F11E86">
              <w:rPr>
                <w:sz w:val="22"/>
                <w:szCs w:val="22"/>
                <w:lang w:val="en-US"/>
              </w:rPr>
              <w:t>NEC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ME</w:t>
            </w:r>
            <w:r w:rsidRPr="00F11E86">
              <w:rPr>
                <w:sz w:val="22"/>
                <w:szCs w:val="22"/>
              </w:rPr>
              <w:t>402</w:t>
            </w:r>
            <w:r w:rsidRPr="00F11E86">
              <w:rPr>
                <w:sz w:val="22"/>
                <w:szCs w:val="22"/>
                <w:lang w:val="en-US"/>
              </w:rPr>
              <w:t>X</w:t>
            </w:r>
            <w:r w:rsidRPr="00F11E86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F11E86">
              <w:rPr>
                <w:sz w:val="22"/>
                <w:szCs w:val="22"/>
                <w:lang w:val="en-US"/>
              </w:rPr>
              <w:t>Behringer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XM</w:t>
            </w:r>
            <w:r w:rsidRPr="00F11E86">
              <w:rPr>
                <w:sz w:val="22"/>
                <w:szCs w:val="22"/>
              </w:rPr>
              <w:t xml:space="preserve">8500 </w:t>
            </w:r>
            <w:r w:rsidRPr="00F11E86">
              <w:rPr>
                <w:sz w:val="22"/>
                <w:szCs w:val="22"/>
                <w:lang w:val="en-US"/>
              </w:rPr>
              <w:t>ULTRAVOICE</w:t>
            </w:r>
            <w:r w:rsidRPr="00F11E86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E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1E86" w14:paraId="5FAA12A2" w14:textId="77777777" w:rsidTr="008416EB">
        <w:tc>
          <w:tcPr>
            <w:tcW w:w="7797" w:type="dxa"/>
            <w:shd w:val="clear" w:color="auto" w:fill="auto"/>
          </w:tcPr>
          <w:p w14:paraId="018AB5F0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F11E86">
              <w:rPr>
                <w:sz w:val="22"/>
                <w:szCs w:val="22"/>
                <w:lang w:val="en-US"/>
              </w:rPr>
              <w:t>Gigabyte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H</w:t>
            </w:r>
            <w:r w:rsidRPr="00F11E86">
              <w:rPr>
                <w:sz w:val="22"/>
                <w:szCs w:val="22"/>
              </w:rPr>
              <w:t>77</w:t>
            </w:r>
            <w:r w:rsidRPr="00F11E86">
              <w:rPr>
                <w:sz w:val="22"/>
                <w:szCs w:val="22"/>
                <w:lang w:val="en-US"/>
              </w:rPr>
              <w:t>M</w:t>
            </w:r>
            <w:r w:rsidRPr="00F11E86">
              <w:rPr>
                <w:sz w:val="22"/>
                <w:szCs w:val="22"/>
              </w:rPr>
              <w:t>-</w:t>
            </w:r>
            <w:r w:rsidRPr="00F11E86">
              <w:rPr>
                <w:sz w:val="22"/>
                <w:szCs w:val="22"/>
                <w:lang w:val="en-US"/>
              </w:rPr>
              <w:t>D</w:t>
            </w:r>
            <w:r w:rsidRPr="00F11E86">
              <w:rPr>
                <w:sz w:val="22"/>
                <w:szCs w:val="22"/>
              </w:rPr>
              <w:t>3</w:t>
            </w:r>
            <w:r w:rsidRPr="00F11E86">
              <w:rPr>
                <w:sz w:val="22"/>
                <w:szCs w:val="22"/>
                <w:lang w:val="en-US"/>
              </w:rPr>
              <w:t>H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Intel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Core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i</w:t>
            </w:r>
            <w:r w:rsidRPr="00F11E86">
              <w:rPr>
                <w:sz w:val="22"/>
                <w:szCs w:val="22"/>
              </w:rPr>
              <w:t>5-3570 3.4</w:t>
            </w:r>
            <w:r w:rsidRPr="00F11E86">
              <w:rPr>
                <w:sz w:val="22"/>
                <w:szCs w:val="22"/>
                <w:lang w:val="en-US"/>
              </w:rPr>
              <w:t>GHz</w:t>
            </w:r>
            <w:r w:rsidRPr="00F11E86">
              <w:rPr>
                <w:sz w:val="22"/>
                <w:szCs w:val="22"/>
              </w:rPr>
              <w:t>/4</w:t>
            </w:r>
            <w:r w:rsidRPr="00F11E86">
              <w:rPr>
                <w:sz w:val="22"/>
                <w:szCs w:val="22"/>
                <w:lang w:val="en-US"/>
              </w:rPr>
              <w:t>Gb</w:t>
            </w:r>
            <w:r w:rsidRPr="00F11E86">
              <w:rPr>
                <w:sz w:val="22"/>
                <w:szCs w:val="22"/>
              </w:rPr>
              <w:t xml:space="preserve"> /500</w:t>
            </w:r>
            <w:r w:rsidRPr="00F11E86">
              <w:rPr>
                <w:sz w:val="22"/>
                <w:szCs w:val="22"/>
                <w:lang w:val="en-US"/>
              </w:rPr>
              <w:t>Gb</w:t>
            </w:r>
            <w:r w:rsidRPr="00F11E86">
              <w:rPr>
                <w:sz w:val="22"/>
                <w:szCs w:val="22"/>
              </w:rPr>
              <w:t xml:space="preserve">/ </w:t>
            </w:r>
            <w:r w:rsidRPr="00F11E86">
              <w:rPr>
                <w:sz w:val="22"/>
                <w:szCs w:val="22"/>
                <w:lang w:val="en-US"/>
              </w:rPr>
              <w:t>VievSonic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VA</w:t>
            </w:r>
            <w:r w:rsidRPr="00F11E86">
              <w:rPr>
                <w:sz w:val="22"/>
                <w:szCs w:val="22"/>
              </w:rPr>
              <w:t>703</w:t>
            </w:r>
            <w:r w:rsidRPr="00F11E86">
              <w:rPr>
                <w:sz w:val="22"/>
                <w:szCs w:val="22"/>
                <w:lang w:val="en-US"/>
              </w:rPr>
              <w:t>b</w:t>
            </w:r>
            <w:r w:rsidRPr="00F11E86">
              <w:rPr>
                <w:sz w:val="22"/>
                <w:szCs w:val="22"/>
              </w:rPr>
              <w:t xml:space="preserve"> - 1 шт., Мультимедийный проектор  </w:t>
            </w:r>
            <w:r w:rsidRPr="00F11E86">
              <w:rPr>
                <w:sz w:val="22"/>
                <w:szCs w:val="22"/>
                <w:lang w:val="en-US"/>
              </w:rPr>
              <w:t>Optoma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x</w:t>
            </w:r>
            <w:r w:rsidRPr="00F11E86">
              <w:rPr>
                <w:sz w:val="22"/>
                <w:szCs w:val="22"/>
              </w:rPr>
              <w:t xml:space="preserve"> 400 - 1 шт., Экран проекцион. </w:t>
            </w:r>
            <w:r w:rsidRPr="00F11E86">
              <w:rPr>
                <w:sz w:val="22"/>
                <w:szCs w:val="22"/>
                <w:lang w:val="en-US"/>
              </w:rPr>
              <w:t>Projecta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Compact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Electrol</w:t>
            </w:r>
            <w:r w:rsidRPr="00F11E86">
              <w:rPr>
                <w:sz w:val="22"/>
                <w:szCs w:val="22"/>
              </w:rPr>
              <w:t xml:space="preserve"> 153</w:t>
            </w:r>
            <w:r w:rsidRPr="00F11E86">
              <w:rPr>
                <w:sz w:val="22"/>
                <w:szCs w:val="22"/>
                <w:lang w:val="en-US"/>
              </w:rPr>
              <w:t>x</w:t>
            </w:r>
            <w:r w:rsidRPr="00F11E86">
              <w:rPr>
                <w:sz w:val="22"/>
                <w:szCs w:val="22"/>
              </w:rPr>
              <w:t xml:space="preserve">200 </w:t>
            </w:r>
            <w:r w:rsidRPr="00F11E86">
              <w:rPr>
                <w:sz w:val="22"/>
                <w:szCs w:val="22"/>
                <w:lang w:val="en-US"/>
              </w:rPr>
              <w:t>c</w:t>
            </w:r>
            <w:r w:rsidRPr="00F11E86">
              <w:rPr>
                <w:sz w:val="22"/>
                <w:szCs w:val="22"/>
              </w:rPr>
              <w:t xml:space="preserve">м </w:t>
            </w:r>
            <w:r w:rsidRPr="00F11E86">
              <w:rPr>
                <w:sz w:val="22"/>
                <w:szCs w:val="22"/>
                <w:lang w:val="en-US"/>
              </w:rPr>
              <w:t>MATTE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White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S</w:t>
            </w:r>
            <w:r w:rsidRPr="00F11E86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727973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E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1E86" w14:paraId="7DFFAFA6" w14:textId="77777777" w:rsidTr="008416EB">
        <w:tc>
          <w:tcPr>
            <w:tcW w:w="7797" w:type="dxa"/>
            <w:shd w:val="clear" w:color="auto" w:fill="auto"/>
          </w:tcPr>
          <w:p w14:paraId="1A99BEB3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преподавателя,трибуна 1 шт., доска меловая 1 шт., тумба м/мМоноблок </w:t>
            </w:r>
            <w:r w:rsidRPr="00F11E86">
              <w:rPr>
                <w:sz w:val="22"/>
                <w:szCs w:val="22"/>
                <w:lang w:val="en-US"/>
              </w:rPr>
              <w:t>Acer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Aspire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Z</w:t>
            </w:r>
            <w:r w:rsidRPr="00F11E86">
              <w:rPr>
                <w:sz w:val="22"/>
                <w:szCs w:val="22"/>
              </w:rPr>
              <w:t xml:space="preserve">1811 в компл.: </w:t>
            </w:r>
            <w:r w:rsidRPr="00F11E86">
              <w:rPr>
                <w:sz w:val="22"/>
                <w:szCs w:val="22"/>
                <w:lang w:val="en-US"/>
              </w:rPr>
              <w:t>i</w:t>
            </w:r>
            <w:r w:rsidRPr="00F11E86">
              <w:rPr>
                <w:sz w:val="22"/>
                <w:szCs w:val="22"/>
              </w:rPr>
              <w:t>5 2400</w:t>
            </w:r>
            <w:r w:rsidRPr="00F11E86">
              <w:rPr>
                <w:sz w:val="22"/>
                <w:szCs w:val="22"/>
                <w:lang w:val="en-US"/>
              </w:rPr>
              <w:t>s</w:t>
            </w:r>
            <w:r w:rsidRPr="00F11E86">
              <w:rPr>
                <w:sz w:val="22"/>
                <w:szCs w:val="22"/>
              </w:rPr>
              <w:t>/4</w:t>
            </w:r>
            <w:r w:rsidRPr="00F11E86">
              <w:rPr>
                <w:sz w:val="22"/>
                <w:szCs w:val="22"/>
                <w:lang w:val="en-US"/>
              </w:rPr>
              <w:t>Gb</w:t>
            </w:r>
            <w:r w:rsidRPr="00F11E86">
              <w:rPr>
                <w:sz w:val="22"/>
                <w:szCs w:val="22"/>
              </w:rPr>
              <w:t>/1</w:t>
            </w:r>
            <w:r w:rsidRPr="00F11E86">
              <w:rPr>
                <w:sz w:val="22"/>
                <w:szCs w:val="22"/>
                <w:lang w:val="en-US"/>
              </w:rPr>
              <w:t>T</w:t>
            </w:r>
            <w:r w:rsidRPr="00F11E86">
              <w:rPr>
                <w:sz w:val="22"/>
                <w:szCs w:val="22"/>
              </w:rPr>
              <w:t xml:space="preserve">б/- 1 шт., Проектор </w:t>
            </w:r>
            <w:r w:rsidRPr="00F11E86">
              <w:rPr>
                <w:sz w:val="22"/>
                <w:szCs w:val="22"/>
                <w:lang w:val="en-US"/>
              </w:rPr>
              <w:t>NEC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VT</w:t>
            </w:r>
            <w:r w:rsidRPr="00F11E86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11E86">
              <w:rPr>
                <w:sz w:val="22"/>
                <w:szCs w:val="22"/>
                <w:lang w:val="en-US"/>
              </w:rPr>
              <w:t>ITC</w:t>
            </w:r>
            <w:r w:rsidRPr="00F11E86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11E86">
              <w:rPr>
                <w:sz w:val="22"/>
                <w:szCs w:val="22"/>
                <w:lang w:val="en-US"/>
              </w:rPr>
              <w:t>NEC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ME</w:t>
            </w:r>
            <w:r w:rsidRPr="00F11E86">
              <w:rPr>
                <w:sz w:val="22"/>
                <w:szCs w:val="22"/>
              </w:rPr>
              <w:t>402</w:t>
            </w:r>
            <w:r w:rsidRPr="00F11E86">
              <w:rPr>
                <w:sz w:val="22"/>
                <w:szCs w:val="22"/>
                <w:lang w:val="en-US"/>
              </w:rPr>
              <w:t>X</w:t>
            </w:r>
            <w:r w:rsidRPr="00F11E86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11E86">
              <w:rPr>
                <w:sz w:val="22"/>
                <w:szCs w:val="22"/>
                <w:lang w:val="en-US"/>
              </w:rPr>
              <w:t>W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TA</w:t>
            </w:r>
            <w:r w:rsidRPr="00F11E86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359772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E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1E86" w14:paraId="4EF19EC2" w14:textId="77777777" w:rsidTr="008416EB">
        <w:tc>
          <w:tcPr>
            <w:tcW w:w="7797" w:type="dxa"/>
            <w:shd w:val="clear" w:color="auto" w:fill="auto"/>
          </w:tcPr>
          <w:p w14:paraId="55027F32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11E86">
              <w:rPr>
                <w:sz w:val="22"/>
                <w:szCs w:val="22"/>
                <w:lang w:val="en-US"/>
              </w:rPr>
              <w:t>LENOVO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ideaCentre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A</w:t>
            </w:r>
            <w:r w:rsidRPr="00F11E86">
              <w:rPr>
                <w:sz w:val="22"/>
                <w:szCs w:val="22"/>
              </w:rPr>
              <w:t>310 (</w:t>
            </w:r>
            <w:r w:rsidRPr="00F11E86">
              <w:rPr>
                <w:sz w:val="22"/>
                <w:szCs w:val="22"/>
                <w:lang w:val="en-US"/>
              </w:rPr>
              <w:t>Intel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Pentium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CPU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P</w:t>
            </w:r>
            <w:r w:rsidRPr="00F11E86">
              <w:rPr>
                <w:sz w:val="22"/>
                <w:szCs w:val="22"/>
              </w:rPr>
              <w:t>6100 @ 2.00</w:t>
            </w:r>
            <w:r w:rsidRPr="00F11E86">
              <w:rPr>
                <w:sz w:val="22"/>
                <w:szCs w:val="22"/>
                <w:lang w:val="en-US"/>
              </w:rPr>
              <w:t>GHz</w:t>
            </w:r>
            <w:r w:rsidRPr="00F11E86">
              <w:rPr>
                <w:sz w:val="22"/>
                <w:szCs w:val="22"/>
              </w:rPr>
              <w:t>/2</w:t>
            </w:r>
            <w:r w:rsidRPr="00F11E86">
              <w:rPr>
                <w:sz w:val="22"/>
                <w:szCs w:val="22"/>
                <w:lang w:val="en-US"/>
              </w:rPr>
              <w:t>Gb</w:t>
            </w:r>
            <w:r w:rsidRPr="00F11E86">
              <w:rPr>
                <w:sz w:val="22"/>
                <w:szCs w:val="22"/>
              </w:rPr>
              <w:t>/250</w:t>
            </w:r>
            <w:r w:rsidRPr="00F11E86">
              <w:rPr>
                <w:sz w:val="22"/>
                <w:szCs w:val="22"/>
                <w:lang w:val="en-US"/>
              </w:rPr>
              <w:t>Gb</w:t>
            </w:r>
            <w:r w:rsidRPr="00F11E86">
              <w:rPr>
                <w:sz w:val="22"/>
                <w:szCs w:val="22"/>
              </w:rPr>
              <w:t xml:space="preserve">)- 15 шт., Мультимедийный проектор </w:t>
            </w:r>
            <w:r w:rsidRPr="00F11E86">
              <w:rPr>
                <w:sz w:val="22"/>
                <w:szCs w:val="22"/>
                <w:lang w:val="en-US"/>
              </w:rPr>
              <w:t>Optoma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x</w:t>
            </w:r>
            <w:r w:rsidRPr="00F11E86">
              <w:rPr>
                <w:sz w:val="22"/>
                <w:szCs w:val="22"/>
              </w:rPr>
              <w:t xml:space="preserve"> 400 - 1 шт.,  Экран с электроприводом </w:t>
            </w:r>
            <w:r w:rsidRPr="00F11E86">
              <w:rPr>
                <w:sz w:val="22"/>
                <w:szCs w:val="22"/>
                <w:lang w:val="en-US"/>
              </w:rPr>
              <w:t>Draper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Baronet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NTSC</w:t>
            </w:r>
            <w:r w:rsidRPr="00F11E8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D67FCC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E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1E86" w14:paraId="06C1F922" w14:textId="77777777" w:rsidTr="008416EB">
        <w:tc>
          <w:tcPr>
            <w:tcW w:w="7797" w:type="dxa"/>
            <w:shd w:val="clear" w:color="auto" w:fill="auto"/>
          </w:tcPr>
          <w:p w14:paraId="266456AA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F11E86">
              <w:rPr>
                <w:sz w:val="22"/>
                <w:szCs w:val="22"/>
                <w:lang w:val="en-US"/>
              </w:rPr>
              <w:t>I</w:t>
            </w:r>
            <w:r w:rsidRPr="00F11E86">
              <w:rPr>
                <w:sz w:val="22"/>
                <w:szCs w:val="22"/>
              </w:rPr>
              <w:t xml:space="preserve">3-8100/ 8Гб/500Гб/ </w:t>
            </w:r>
            <w:r w:rsidRPr="00F11E86">
              <w:rPr>
                <w:sz w:val="22"/>
                <w:szCs w:val="22"/>
                <w:lang w:val="en-US"/>
              </w:rPr>
              <w:t>Philips</w:t>
            </w:r>
            <w:r w:rsidRPr="00F11E86">
              <w:rPr>
                <w:sz w:val="22"/>
                <w:szCs w:val="22"/>
              </w:rPr>
              <w:t>224</w:t>
            </w:r>
            <w:r w:rsidRPr="00F11E86">
              <w:rPr>
                <w:sz w:val="22"/>
                <w:szCs w:val="22"/>
                <w:lang w:val="en-US"/>
              </w:rPr>
              <w:t>E</w:t>
            </w:r>
            <w:r w:rsidRPr="00F11E86">
              <w:rPr>
                <w:sz w:val="22"/>
                <w:szCs w:val="22"/>
              </w:rPr>
              <w:t>5</w:t>
            </w:r>
            <w:r w:rsidRPr="00F11E86">
              <w:rPr>
                <w:sz w:val="22"/>
                <w:szCs w:val="22"/>
                <w:lang w:val="en-US"/>
              </w:rPr>
              <w:t>QSB</w:t>
            </w:r>
            <w:r w:rsidRPr="00F11E86">
              <w:rPr>
                <w:sz w:val="22"/>
                <w:szCs w:val="22"/>
              </w:rPr>
              <w:t xml:space="preserve"> - 20 шт., Компьютер </w:t>
            </w:r>
            <w:r w:rsidRPr="00F11E86">
              <w:rPr>
                <w:sz w:val="22"/>
                <w:szCs w:val="22"/>
                <w:lang w:val="en-US"/>
              </w:rPr>
              <w:t>i</w:t>
            </w:r>
            <w:r w:rsidRPr="00F11E86">
              <w:rPr>
                <w:sz w:val="22"/>
                <w:szCs w:val="22"/>
              </w:rPr>
              <w:t xml:space="preserve">5-7400 3 </w:t>
            </w:r>
            <w:r w:rsidRPr="00F11E86">
              <w:rPr>
                <w:sz w:val="22"/>
                <w:szCs w:val="22"/>
                <w:lang w:val="en-US"/>
              </w:rPr>
              <w:t>Gh</w:t>
            </w:r>
            <w:r w:rsidRPr="00F11E86">
              <w:rPr>
                <w:sz w:val="22"/>
                <w:szCs w:val="22"/>
              </w:rPr>
              <w:t>/8</w:t>
            </w:r>
            <w:r w:rsidRPr="00F11E86">
              <w:rPr>
                <w:sz w:val="22"/>
                <w:szCs w:val="22"/>
                <w:lang w:val="en-US"/>
              </w:rPr>
              <w:t>Gb</w:t>
            </w:r>
            <w:r w:rsidRPr="00F11E86">
              <w:rPr>
                <w:sz w:val="22"/>
                <w:szCs w:val="22"/>
              </w:rPr>
              <w:t>/1</w:t>
            </w:r>
            <w:r w:rsidRPr="00F11E86">
              <w:rPr>
                <w:sz w:val="22"/>
                <w:szCs w:val="22"/>
                <w:lang w:val="en-US"/>
              </w:rPr>
              <w:t>Tb</w:t>
            </w:r>
            <w:r w:rsidRPr="00F11E86">
              <w:rPr>
                <w:sz w:val="22"/>
                <w:szCs w:val="22"/>
              </w:rPr>
              <w:t>/</w:t>
            </w:r>
            <w:r w:rsidRPr="00F11E86">
              <w:rPr>
                <w:sz w:val="22"/>
                <w:szCs w:val="22"/>
                <w:lang w:val="en-US"/>
              </w:rPr>
              <w:t>Dell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e</w:t>
            </w:r>
            <w:r w:rsidRPr="00F11E86">
              <w:rPr>
                <w:sz w:val="22"/>
                <w:szCs w:val="22"/>
              </w:rPr>
              <w:t>2318</w:t>
            </w:r>
            <w:r w:rsidRPr="00F11E86">
              <w:rPr>
                <w:sz w:val="22"/>
                <w:szCs w:val="22"/>
                <w:lang w:val="en-US"/>
              </w:rPr>
              <w:t>h</w:t>
            </w:r>
            <w:r w:rsidRPr="00F11E86">
              <w:rPr>
                <w:sz w:val="22"/>
                <w:szCs w:val="22"/>
              </w:rPr>
              <w:t xml:space="preserve"> - 1 шт., Мультимедийный проектор 1 </w:t>
            </w:r>
            <w:r w:rsidRPr="00F11E86">
              <w:rPr>
                <w:sz w:val="22"/>
                <w:szCs w:val="22"/>
                <w:lang w:val="en-US"/>
              </w:rPr>
              <w:t>NEC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ME</w:t>
            </w:r>
            <w:r w:rsidRPr="00F11E86">
              <w:rPr>
                <w:sz w:val="22"/>
                <w:szCs w:val="22"/>
              </w:rPr>
              <w:t>401</w:t>
            </w:r>
            <w:r w:rsidRPr="00F11E86">
              <w:rPr>
                <w:sz w:val="22"/>
                <w:szCs w:val="22"/>
                <w:lang w:val="en-US"/>
              </w:rPr>
              <w:t>X</w:t>
            </w:r>
            <w:r w:rsidRPr="00F11E8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11E86">
              <w:rPr>
                <w:sz w:val="22"/>
                <w:szCs w:val="22"/>
                <w:lang w:val="en-US"/>
              </w:rPr>
              <w:t>Matte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White</w:t>
            </w:r>
            <w:r w:rsidRPr="00F11E86">
              <w:rPr>
                <w:sz w:val="22"/>
                <w:szCs w:val="22"/>
              </w:rPr>
              <w:t xml:space="preserve"> - 1 шт., Коммутатор </w:t>
            </w:r>
            <w:r w:rsidRPr="00F11E86">
              <w:rPr>
                <w:sz w:val="22"/>
                <w:szCs w:val="22"/>
                <w:lang w:val="en-US"/>
              </w:rPr>
              <w:t>HP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ProCurve</w:t>
            </w:r>
            <w:r w:rsidRPr="00F11E86">
              <w:rPr>
                <w:sz w:val="22"/>
                <w:szCs w:val="22"/>
              </w:rPr>
              <w:t xml:space="preserve"> </w:t>
            </w:r>
            <w:r w:rsidRPr="00F11E86">
              <w:rPr>
                <w:sz w:val="22"/>
                <w:szCs w:val="22"/>
                <w:lang w:val="en-US"/>
              </w:rPr>
              <w:t>Switch</w:t>
            </w:r>
            <w:r w:rsidRPr="00F11E86">
              <w:rPr>
                <w:sz w:val="22"/>
                <w:szCs w:val="22"/>
              </w:rPr>
              <w:t xml:space="preserve"> 2610-24 (24 </w:t>
            </w:r>
            <w:r w:rsidRPr="00F11E86">
              <w:rPr>
                <w:sz w:val="22"/>
                <w:szCs w:val="22"/>
                <w:lang w:val="en-US"/>
              </w:rPr>
              <w:t>ports</w:t>
            </w:r>
            <w:r w:rsidRPr="00F11E86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5D7798" w14:textId="77777777" w:rsidR="002C735C" w:rsidRPr="00F11E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1E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11E8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03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0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0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03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Предмет, объект и методы исследования региона как объекта хозяйствования и управления.</w:t>
            </w:r>
          </w:p>
        </w:tc>
      </w:tr>
      <w:tr w:rsidR="009E6058" w14:paraId="6E2F3874" w14:textId="77777777" w:rsidTr="00F00293">
        <w:tc>
          <w:tcPr>
            <w:tcW w:w="562" w:type="dxa"/>
          </w:tcPr>
          <w:p w14:paraId="5A7F4B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6DC519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Зарубежные теории размещения производства. современные исследования в региональной науке.</w:t>
            </w:r>
          </w:p>
        </w:tc>
      </w:tr>
      <w:tr w:rsidR="009E6058" w14:paraId="7332348B" w14:textId="77777777" w:rsidTr="00F00293">
        <w:tc>
          <w:tcPr>
            <w:tcW w:w="562" w:type="dxa"/>
          </w:tcPr>
          <w:p w14:paraId="2495B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3FF1F6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Регион и экономическое районирование. Санкт-Петербург и Ленинградская область.</w:t>
            </w:r>
          </w:p>
        </w:tc>
      </w:tr>
      <w:tr w:rsidR="009E6058" w14:paraId="5DD65E20" w14:textId="77777777" w:rsidTr="00F00293">
        <w:tc>
          <w:tcPr>
            <w:tcW w:w="562" w:type="dxa"/>
          </w:tcPr>
          <w:p w14:paraId="6816B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B5C86A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Порядок объединения субъектов Российской Федерации. Типология российских регионов. Типы проблемных регионов.</w:t>
            </w:r>
          </w:p>
        </w:tc>
      </w:tr>
      <w:tr w:rsidR="009E6058" w14:paraId="795FB881" w14:textId="77777777" w:rsidTr="00F00293">
        <w:tc>
          <w:tcPr>
            <w:tcW w:w="562" w:type="dxa"/>
          </w:tcPr>
          <w:p w14:paraId="03E5E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5D1B6D4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Сущность территориальной (пространственной) организации общества.</w:t>
            </w:r>
          </w:p>
        </w:tc>
      </w:tr>
      <w:tr w:rsidR="009E6058" w14:paraId="2DCDD81E" w14:textId="77777777" w:rsidTr="00F00293">
        <w:tc>
          <w:tcPr>
            <w:tcW w:w="562" w:type="dxa"/>
          </w:tcPr>
          <w:p w14:paraId="68363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DE862B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Природно-ресурсный потенциал России, его рациональное использование и роль в развитии регионов.</w:t>
            </w:r>
          </w:p>
        </w:tc>
      </w:tr>
      <w:tr w:rsidR="009E6058" w14:paraId="122458F9" w14:textId="77777777" w:rsidTr="00F00293">
        <w:tc>
          <w:tcPr>
            <w:tcW w:w="562" w:type="dxa"/>
          </w:tcPr>
          <w:p w14:paraId="4CE8C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5D8E2F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Природно-ресурсный потенциал Санкт-Петербурга и Ленинградской области.</w:t>
            </w:r>
          </w:p>
        </w:tc>
      </w:tr>
      <w:tr w:rsidR="009E6058" w14:paraId="21BE8652" w14:textId="77777777" w:rsidTr="00F00293">
        <w:tc>
          <w:tcPr>
            <w:tcW w:w="562" w:type="dxa"/>
          </w:tcPr>
          <w:p w14:paraId="17760F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7347022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Межрегиональные связи. Взаимодействие российских регионов. Региональный хозяйственный комплекс. Специализация и комплексное развитие.</w:t>
            </w:r>
          </w:p>
        </w:tc>
      </w:tr>
      <w:tr w:rsidR="009E6058" w14:paraId="1D1B2321" w14:textId="77777777" w:rsidTr="00F00293">
        <w:tc>
          <w:tcPr>
            <w:tcW w:w="562" w:type="dxa"/>
          </w:tcPr>
          <w:p w14:paraId="2533B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B7D3305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Региональный хозяйственный комплекс Санкт-Петербурга и Ленинградской области.</w:t>
            </w:r>
          </w:p>
        </w:tc>
      </w:tr>
      <w:tr w:rsidR="009E6058" w14:paraId="50867592" w14:textId="77777777" w:rsidTr="00F00293">
        <w:tc>
          <w:tcPr>
            <w:tcW w:w="562" w:type="dxa"/>
          </w:tcPr>
          <w:p w14:paraId="351F7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A8DF2D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Система региональных рынков и проблемы ее формирования. конкурентная среда и инфраструктура региональных рынков.</w:t>
            </w:r>
          </w:p>
        </w:tc>
      </w:tr>
      <w:tr w:rsidR="009E6058" w14:paraId="42F67DC0" w14:textId="77777777" w:rsidTr="00F00293">
        <w:tc>
          <w:tcPr>
            <w:tcW w:w="562" w:type="dxa"/>
          </w:tcPr>
          <w:p w14:paraId="51595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D33072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Понятие экономического роста и социально-экономического  развития.</w:t>
            </w:r>
          </w:p>
        </w:tc>
      </w:tr>
      <w:tr w:rsidR="009E6058" w14:paraId="6C4E6265" w14:textId="77777777" w:rsidTr="00F00293">
        <w:tc>
          <w:tcPr>
            <w:tcW w:w="562" w:type="dxa"/>
          </w:tcPr>
          <w:p w14:paraId="0542F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09A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11E86">
              <w:rPr>
                <w:sz w:val="23"/>
                <w:szCs w:val="23"/>
              </w:rPr>
              <w:t xml:space="preserve">Измерители темпов и масштабов экономического роста. </w:t>
            </w:r>
            <w:r>
              <w:rPr>
                <w:sz w:val="23"/>
                <w:szCs w:val="23"/>
                <w:lang w:val="en-US"/>
              </w:rPr>
              <w:t>Источники экономического роста.</w:t>
            </w:r>
          </w:p>
        </w:tc>
      </w:tr>
      <w:tr w:rsidR="009E6058" w14:paraId="4852EE38" w14:textId="77777777" w:rsidTr="00F00293">
        <w:tc>
          <w:tcPr>
            <w:tcW w:w="562" w:type="dxa"/>
          </w:tcPr>
          <w:p w14:paraId="1621A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32B1F0D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Модели темпов роста и экономического равновесия.</w:t>
            </w:r>
          </w:p>
        </w:tc>
      </w:tr>
      <w:tr w:rsidR="009E6058" w14:paraId="7BFD9F2E" w14:textId="77777777" w:rsidTr="00F00293">
        <w:tc>
          <w:tcPr>
            <w:tcW w:w="562" w:type="dxa"/>
          </w:tcPr>
          <w:p w14:paraId="3089B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9303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Измерители макроэкономических циклов.</w:t>
            </w:r>
          </w:p>
        </w:tc>
      </w:tr>
      <w:tr w:rsidR="009E6058" w14:paraId="1B528894" w14:textId="77777777" w:rsidTr="00F00293">
        <w:tc>
          <w:tcPr>
            <w:tcW w:w="562" w:type="dxa"/>
          </w:tcPr>
          <w:p w14:paraId="4BD094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CCCFF4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Региональный монополизм и тенденции его развития.</w:t>
            </w:r>
          </w:p>
        </w:tc>
      </w:tr>
      <w:tr w:rsidR="009E6058" w14:paraId="6207FE6E" w14:textId="77777777" w:rsidTr="00F00293">
        <w:tc>
          <w:tcPr>
            <w:tcW w:w="562" w:type="dxa"/>
          </w:tcPr>
          <w:p w14:paraId="484E4D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FD99F3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Электроэнергетика как монополизирующий фактор развития экономики страны и регионов.</w:t>
            </w:r>
          </w:p>
        </w:tc>
      </w:tr>
      <w:tr w:rsidR="009E6058" w14:paraId="1668580F" w14:textId="77777777" w:rsidTr="00F00293">
        <w:tc>
          <w:tcPr>
            <w:tcW w:w="562" w:type="dxa"/>
          </w:tcPr>
          <w:p w14:paraId="67B8A5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A808DA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Измерение позиций естественных монополий в экономическом пространстве страны и ее регионов.</w:t>
            </w:r>
          </w:p>
        </w:tc>
      </w:tr>
      <w:tr w:rsidR="009E6058" w14:paraId="0A59AC01" w14:textId="77777777" w:rsidTr="00F00293">
        <w:tc>
          <w:tcPr>
            <w:tcW w:w="562" w:type="dxa"/>
          </w:tcPr>
          <w:p w14:paraId="3C06E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04FC8D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Влияние регионального монополизма на эффективность экономики регионов.</w:t>
            </w:r>
          </w:p>
        </w:tc>
      </w:tr>
      <w:tr w:rsidR="009E6058" w14:paraId="6797D2E0" w14:textId="77777777" w:rsidTr="00F00293">
        <w:tc>
          <w:tcPr>
            <w:tcW w:w="562" w:type="dxa"/>
          </w:tcPr>
          <w:p w14:paraId="2D2862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60548A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Современные проблемы и механизмы взаимодействия естественных монополий с субъектами региональной экономики.</w:t>
            </w:r>
          </w:p>
        </w:tc>
      </w:tr>
      <w:tr w:rsidR="009E6058" w14:paraId="604C112B" w14:textId="77777777" w:rsidTr="00F00293">
        <w:tc>
          <w:tcPr>
            <w:tcW w:w="562" w:type="dxa"/>
          </w:tcPr>
          <w:p w14:paraId="4681C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3CA327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Сущность государственного регулирования социально-экономического развития регионов.</w:t>
            </w:r>
          </w:p>
        </w:tc>
      </w:tr>
      <w:tr w:rsidR="009E6058" w14:paraId="0066AF38" w14:textId="77777777" w:rsidTr="00F00293">
        <w:tc>
          <w:tcPr>
            <w:tcW w:w="562" w:type="dxa"/>
          </w:tcPr>
          <w:p w14:paraId="613B7E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2638EB6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Комплексное социально-экономическое прогнозирование и планирование</w:t>
            </w:r>
          </w:p>
        </w:tc>
      </w:tr>
      <w:tr w:rsidR="009E6058" w14:paraId="62710D72" w14:textId="77777777" w:rsidTr="00F00293">
        <w:tc>
          <w:tcPr>
            <w:tcW w:w="562" w:type="dxa"/>
          </w:tcPr>
          <w:p w14:paraId="7E5C95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D91114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Региональное стратегическое планирование. Стратегия развития Санкт-Петербурга 2030.</w:t>
            </w:r>
          </w:p>
        </w:tc>
      </w:tr>
      <w:tr w:rsidR="009E6058" w14:paraId="1E9F2600" w14:textId="77777777" w:rsidTr="00F00293">
        <w:tc>
          <w:tcPr>
            <w:tcW w:w="562" w:type="dxa"/>
          </w:tcPr>
          <w:p w14:paraId="261DBE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E2DD05B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Предпринимательство в системе регионального хозяйства.</w:t>
            </w:r>
          </w:p>
        </w:tc>
      </w:tr>
      <w:tr w:rsidR="009E6058" w14:paraId="6BCB2004" w14:textId="77777777" w:rsidTr="00F00293">
        <w:tc>
          <w:tcPr>
            <w:tcW w:w="562" w:type="dxa"/>
          </w:tcPr>
          <w:p w14:paraId="5A8199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FA0CD5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Методы регулирования межрегиональных экономических связей.</w:t>
            </w:r>
          </w:p>
        </w:tc>
      </w:tr>
      <w:tr w:rsidR="009E6058" w14:paraId="6F7B9E72" w14:textId="77777777" w:rsidTr="00F00293">
        <w:tc>
          <w:tcPr>
            <w:tcW w:w="562" w:type="dxa"/>
          </w:tcPr>
          <w:p w14:paraId="6A983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C395B97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Основы региональной политики Российской Федерации. виды региональной политики.</w:t>
            </w:r>
          </w:p>
        </w:tc>
      </w:tr>
      <w:tr w:rsidR="009E6058" w14:paraId="6E75A430" w14:textId="77777777" w:rsidTr="00F00293">
        <w:tc>
          <w:tcPr>
            <w:tcW w:w="562" w:type="dxa"/>
          </w:tcPr>
          <w:p w14:paraId="747A7F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7AA76C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Основы региональной политики Санкт-Петербурга.</w:t>
            </w:r>
          </w:p>
        </w:tc>
      </w:tr>
      <w:tr w:rsidR="009E6058" w14:paraId="079F2CFD" w14:textId="77777777" w:rsidTr="00F00293">
        <w:tc>
          <w:tcPr>
            <w:tcW w:w="562" w:type="dxa"/>
          </w:tcPr>
          <w:p w14:paraId="3228A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0E45F8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Зарубежный опыт проведения региональной политики. Свободные (особые) экономические зоны как инструмент региональной политики и инновационного развития территорий.</w:t>
            </w:r>
          </w:p>
        </w:tc>
      </w:tr>
      <w:tr w:rsidR="009E6058" w14:paraId="5C50ED5B" w14:textId="77777777" w:rsidTr="00F00293">
        <w:tc>
          <w:tcPr>
            <w:tcW w:w="562" w:type="dxa"/>
          </w:tcPr>
          <w:p w14:paraId="008D9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3CC366E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Российский опыт создания и продвижения особых экономических зон.</w:t>
            </w:r>
          </w:p>
        </w:tc>
      </w:tr>
      <w:tr w:rsidR="009E6058" w14:paraId="3CA37E70" w14:textId="77777777" w:rsidTr="00F00293">
        <w:tc>
          <w:tcPr>
            <w:tcW w:w="562" w:type="dxa"/>
          </w:tcPr>
          <w:p w14:paraId="27AEA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658B72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Сущность и цели регионального управления.</w:t>
            </w:r>
          </w:p>
        </w:tc>
      </w:tr>
      <w:tr w:rsidR="009E6058" w14:paraId="55BE408F" w14:textId="77777777" w:rsidTr="00F00293">
        <w:tc>
          <w:tcPr>
            <w:tcW w:w="562" w:type="dxa"/>
          </w:tcPr>
          <w:p w14:paraId="673669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D77532A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Собственность как экономическая основа управления экономикой региона.</w:t>
            </w:r>
          </w:p>
        </w:tc>
      </w:tr>
      <w:tr w:rsidR="009E6058" w14:paraId="170B00F1" w14:textId="77777777" w:rsidTr="00F00293">
        <w:tc>
          <w:tcPr>
            <w:tcW w:w="562" w:type="dxa"/>
          </w:tcPr>
          <w:p w14:paraId="7EBF8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B80E58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Инструменты, механизмы и технологии управления экономикой региона.</w:t>
            </w:r>
          </w:p>
        </w:tc>
      </w:tr>
      <w:tr w:rsidR="009E6058" w14:paraId="170A7F1B" w14:textId="77777777" w:rsidTr="00F00293">
        <w:tc>
          <w:tcPr>
            <w:tcW w:w="562" w:type="dxa"/>
          </w:tcPr>
          <w:p w14:paraId="1C2FC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12AEE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11E86">
              <w:rPr>
                <w:sz w:val="23"/>
                <w:szCs w:val="23"/>
              </w:rPr>
              <w:t xml:space="preserve">Целевые комплексные программы и приоритетные национальные проекты как методы управления устойчивым развитием регионов. </w:t>
            </w:r>
            <w:r>
              <w:rPr>
                <w:sz w:val="23"/>
                <w:szCs w:val="23"/>
                <w:lang w:val="en-US"/>
              </w:rPr>
              <w:t>Целевые комплексные программы Санкт-Петербурга.</w:t>
            </w:r>
          </w:p>
        </w:tc>
      </w:tr>
      <w:tr w:rsidR="009E6058" w14:paraId="5AE713D3" w14:textId="77777777" w:rsidTr="00F00293">
        <w:tc>
          <w:tcPr>
            <w:tcW w:w="562" w:type="dxa"/>
          </w:tcPr>
          <w:p w14:paraId="08BAF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722BE31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Конкурентоспособность регионов и управление развитием их конкурентных преимуществ.</w:t>
            </w:r>
          </w:p>
        </w:tc>
      </w:tr>
      <w:tr w:rsidR="009E6058" w14:paraId="23D7B0F5" w14:textId="77777777" w:rsidTr="00F00293">
        <w:tc>
          <w:tcPr>
            <w:tcW w:w="562" w:type="dxa"/>
          </w:tcPr>
          <w:p w14:paraId="6DF05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5598E7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Кластерный подход в управлении территориальным развитием.</w:t>
            </w:r>
          </w:p>
        </w:tc>
      </w:tr>
      <w:tr w:rsidR="009E6058" w14:paraId="345E3DA2" w14:textId="77777777" w:rsidTr="00F00293">
        <w:tc>
          <w:tcPr>
            <w:tcW w:w="562" w:type="dxa"/>
          </w:tcPr>
          <w:p w14:paraId="24AC7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146473" w14:textId="77777777" w:rsidR="009E6058" w:rsidRPr="00F11E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Система риск-менеджмента в региональной экономике и управлении территориальным развитием.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03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1E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0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1E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1E86" w14:paraId="5A1C9382" w14:textId="77777777" w:rsidTr="00801458">
        <w:tc>
          <w:tcPr>
            <w:tcW w:w="2336" w:type="dxa"/>
          </w:tcPr>
          <w:p w14:paraId="4C518DAB" w14:textId="77777777" w:rsidR="005D65A5" w:rsidRPr="00F11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E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1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E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1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E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1E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E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1E86" w14:paraId="07658034" w14:textId="77777777" w:rsidTr="00801458">
        <w:tc>
          <w:tcPr>
            <w:tcW w:w="2336" w:type="dxa"/>
          </w:tcPr>
          <w:p w14:paraId="1553D698" w14:textId="78F29BFB" w:rsidR="005D65A5" w:rsidRPr="00F11E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>Проведение и анализ результатов экспертизы</w:t>
            </w:r>
          </w:p>
        </w:tc>
        <w:tc>
          <w:tcPr>
            <w:tcW w:w="2336" w:type="dxa"/>
          </w:tcPr>
          <w:p w14:paraId="09793085" w14:textId="37E3864C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1E86" w14:paraId="133C5A33" w14:textId="77777777" w:rsidTr="00801458">
        <w:tc>
          <w:tcPr>
            <w:tcW w:w="2336" w:type="dxa"/>
          </w:tcPr>
          <w:p w14:paraId="1E6F4FFD" w14:textId="77777777" w:rsidR="005D65A5" w:rsidRPr="00F11E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5C521C" w14:textId="77777777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3C6D4AB" w14:textId="77777777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D94516" w14:textId="77777777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11E86" w14:paraId="41515768" w14:textId="77777777" w:rsidTr="00801458">
        <w:tc>
          <w:tcPr>
            <w:tcW w:w="2336" w:type="dxa"/>
          </w:tcPr>
          <w:p w14:paraId="0D5D1E16" w14:textId="77777777" w:rsidR="005D65A5" w:rsidRPr="00F11E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57F760" w14:textId="77777777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B9FF5B" w14:textId="77777777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862BF7" w14:textId="77777777" w:rsidR="005D65A5" w:rsidRPr="00F11E86" w:rsidRDefault="007478E0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11E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1E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0336"/>
      <w:r w:rsidRPr="00F11E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1E86" w14:paraId="61C1B26D" w14:textId="77777777" w:rsidTr="00D87EFB">
        <w:tc>
          <w:tcPr>
            <w:tcW w:w="562" w:type="dxa"/>
          </w:tcPr>
          <w:p w14:paraId="074BFE63" w14:textId="77777777" w:rsidR="00F11E86" w:rsidRPr="009E6058" w:rsidRDefault="00F11E86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6AD032" w14:textId="77777777" w:rsidR="00F11E86" w:rsidRPr="00F11E86" w:rsidRDefault="00F11E86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1E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A3F71E" w14:textId="77777777" w:rsidR="00F11E86" w:rsidRPr="00F11E86" w:rsidRDefault="00F11E8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1E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50337"/>
      <w:r w:rsidRPr="00F11E8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1E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1E86" w14:paraId="0267C479" w14:textId="77777777" w:rsidTr="00801458">
        <w:tc>
          <w:tcPr>
            <w:tcW w:w="2500" w:type="pct"/>
          </w:tcPr>
          <w:p w14:paraId="37F699C9" w14:textId="77777777" w:rsidR="00B8237E" w:rsidRPr="00F11E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E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1E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E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1E86" w14:paraId="3F240151" w14:textId="77777777" w:rsidTr="00801458">
        <w:tc>
          <w:tcPr>
            <w:tcW w:w="2500" w:type="pct"/>
          </w:tcPr>
          <w:p w14:paraId="61E91592" w14:textId="61A0874C" w:rsidR="00B8237E" w:rsidRPr="00F11E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11E86" w:rsidRDefault="005C548A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11E86" w14:paraId="669155E1" w14:textId="77777777" w:rsidTr="00801458">
        <w:tc>
          <w:tcPr>
            <w:tcW w:w="2500" w:type="pct"/>
          </w:tcPr>
          <w:p w14:paraId="6892FEDB" w14:textId="77777777" w:rsidR="00B8237E" w:rsidRPr="00F11E86" w:rsidRDefault="00B8237E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A47FBBC" w14:textId="77777777" w:rsidR="00B8237E" w:rsidRPr="00F11E86" w:rsidRDefault="005C548A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11E86" w14:paraId="59A485E4" w14:textId="77777777" w:rsidTr="00801458">
        <w:tc>
          <w:tcPr>
            <w:tcW w:w="2500" w:type="pct"/>
          </w:tcPr>
          <w:p w14:paraId="709878DE" w14:textId="77777777" w:rsidR="00B8237E" w:rsidRPr="00F11E86" w:rsidRDefault="00B8237E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61DE93" w14:textId="77777777" w:rsidR="00B8237E" w:rsidRPr="00F11E86" w:rsidRDefault="005C548A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11E86" w14:paraId="44C8AC29" w14:textId="77777777" w:rsidTr="00801458">
        <w:tc>
          <w:tcPr>
            <w:tcW w:w="2500" w:type="pct"/>
          </w:tcPr>
          <w:p w14:paraId="17B16987" w14:textId="77777777" w:rsidR="00B8237E" w:rsidRPr="00F11E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C2A1086" w14:textId="77777777" w:rsidR="00B8237E" w:rsidRPr="00F11E86" w:rsidRDefault="005C548A" w:rsidP="00801458">
            <w:pPr>
              <w:rPr>
                <w:rFonts w:ascii="Times New Roman" w:hAnsi="Times New Roman" w:cs="Times New Roman"/>
              </w:rPr>
            </w:pPr>
            <w:r w:rsidRPr="00F11E8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11E8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1E8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0338"/>
      <w:r w:rsidRPr="00F11E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1E8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11E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11E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E8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11E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11E8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F11E8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E8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11E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F11E8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11E8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E8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11E8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11E8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11E8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E8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11E8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E8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11E8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11E8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1E8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11E8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1E8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11E8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11E8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1E8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11E8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1E8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3F5BF" w14:textId="77777777" w:rsidR="00E223A9" w:rsidRDefault="00E223A9" w:rsidP="00315CA6">
      <w:pPr>
        <w:spacing w:after="0" w:line="240" w:lineRule="auto"/>
      </w:pPr>
      <w:r>
        <w:separator/>
      </w:r>
    </w:p>
  </w:endnote>
  <w:endnote w:type="continuationSeparator" w:id="0">
    <w:p w14:paraId="499F004F" w14:textId="77777777" w:rsidR="00E223A9" w:rsidRDefault="00E223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EA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B7E30" w14:textId="77777777" w:rsidR="00E223A9" w:rsidRDefault="00E223A9" w:rsidP="00315CA6">
      <w:pPr>
        <w:spacing w:after="0" w:line="240" w:lineRule="auto"/>
      </w:pPr>
      <w:r>
        <w:separator/>
      </w:r>
    </w:p>
  </w:footnote>
  <w:footnote w:type="continuationSeparator" w:id="0">
    <w:p w14:paraId="07341AF8" w14:textId="77777777" w:rsidR="00E223A9" w:rsidRDefault="00E223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EA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23A9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9FE"/>
    <w:rsid w:val="00F00293"/>
    <w:rsid w:val="00F01BE3"/>
    <w:rsid w:val="00F11E86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E8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E8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7214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813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viewer/territorialnoe-planirovanie-4142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urbanistika-gorodskaya-ekonomika-razvitie-i-upravlenie-4759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0D1964-3084-4896-AEE9-09F8F62F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4064</Words>
  <Characters>23167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